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A736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BCC9111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1E619D6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6379E65B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56871310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16F33D22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0C7CFF8C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32644832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C3271B1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64070BC" w14:textId="77777777" w:rsidR="008D0AC9" w:rsidRDefault="008D0AC9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4DAE8709" w14:textId="1CCBFAD8" w:rsidR="008D0AC9" w:rsidRDefault="008D0AC9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8D0AC9">
        <w:rPr>
          <w:rFonts w:ascii="Cambria" w:hAnsi="Cambria" w:cs="Minion Pro"/>
          <w:b/>
          <w:color w:val="000000"/>
          <w:sz w:val="32"/>
          <w:szCs w:val="32"/>
        </w:rPr>
        <w:t>Addendum al Manuale di Autocontrollo Aziendale</w:t>
      </w:r>
    </w:p>
    <w:p w14:paraId="435E4D2C" w14:textId="5794DE5C" w:rsidR="008D0AC9" w:rsidRDefault="008D0AC9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>
        <w:rPr>
          <w:rFonts w:ascii="Cambria" w:hAnsi="Cambria" w:cs="Minion Pro"/>
          <w:b/>
          <w:color w:val="000000"/>
          <w:sz w:val="32"/>
          <w:szCs w:val="32"/>
        </w:rPr>
        <w:t>P</w:t>
      </w:r>
      <w:r w:rsidRPr="008D0AC9">
        <w:rPr>
          <w:rFonts w:ascii="Cambria" w:hAnsi="Cambria" w:cs="Minion Pro"/>
          <w:b/>
          <w:color w:val="000000"/>
          <w:sz w:val="32"/>
          <w:szCs w:val="32"/>
        </w:rPr>
        <w:t>er le attività aderenti al Progetto Spesa Sballata 3</w:t>
      </w:r>
    </w:p>
    <w:p w14:paraId="6590BC70" w14:textId="77777777" w:rsidR="004970EC" w:rsidRDefault="004970EC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</w:p>
    <w:p w14:paraId="5D7B97A2" w14:textId="75C71ED8" w:rsidR="004970EC" w:rsidRDefault="002C2E3F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>
        <w:rPr>
          <w:rFonts w:ascii="Cambria" w:hAnsi="Cambria" w:cs="Minion Pro"/>
          <w:b/>
          <w:color w:val="000000"/>
          <w:sz w:val="32"/>
          <w:szCs w:val="32"/>
        </w:rPr>
        <w:t xml:space="preserve">Pizzerie ed altri esercizi che utilizzano contenitori forniti ed igienizzati dagli stessi (PaaS – Product </w:t>
      </w:r>
      <w:proofErr w:type="spellStart"/>
      <w:r>
        <w:rPr>
          <w:rFonts w:ascii="Cambria" w:hAnsi="Cambria" w:cs="Minion Pro"/>
          <w:b/>
          <w:color w:val="000000"/>
          <w:sz w:val="32"/>
          <w:szCs w:val="32"/>
        </w:rPr>
        <w:t>as</w:t>
      </w:r>
      <w:proofErr w:type="spellEnd"/>
      <w:r>
        <w:rPr>
          <w:rFonts w:ascii="Cambria" w:hAnsi="Cambria" w:cs="Minion Pro"/>
          <w:b/>
          <w:color w:val="000000"/>
          <w:sz w:val="32"/>
          <w:szCs w:val="32"/>
        </w:rPr>
        <w:t xml:space="preserve"> a Service)</w:t>
      </w:r>
    </w:p>
    <w:p w14:paraId="4FF387E3" w14:textId="77777777" w:rsidR="004970EC" w:rsidRDefault="004970EC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</w:p>
    <w:p w14:paraId="12E71BDC" w14:textId="77777777" w:rsidR="004970EC" w:rsidRDefault="004970EC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</w:p>
    <w:p w14:paraId="61184114" w14:textId="77777777" w:rsidR="004970EC" w:rsidRPr="008D0AC9" w:rsidRDefault="004970EC" w:rsidP="008D0AC9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</w:p>
    <w:p w14:paraId="575A042E" w14:textId="77777777" w:rsidR="004970EC" w:rsidRDefault="004970EC" w:rsidP="004970EC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  <w:r>
        <w:rPr>
          <w:rFonts w:ascii="Cambria" w:hAnsi="Cambria" w:cs="Minion Pro"/>
          <w:b/>
          <w:i/>
          <w:color w:val="000000"/>
          <w:sz w:val="32"/>
          <w:szCs w:val="32"/>
        </w:rPr>
        <w:t>_______________________________________________________________________________</w:t>
      </w:r>
    </w:p>
    <w:p w14:paraId="335F42A9" w14:textId="77777777" w:rsidR="004970EC" w:rsidRDefault="004970EC" w:rsidP="004970EC">
      <w:pPr>
        <w:pStyle w:val="Paragrafoelenco"/>
        <w:autoSpaceDE w:val="0"/>
        <w:autoSpaceDN w:val="0"/>
        <w:adjustRightInd w:val="0"/>
        <w:spacing w:line="241" w:lineRule="atLeast"/>
        <w:jc w:val="center"/>
        <w:rPr>
          <w:rFonts w:ascii="Cambria" w:hAnsi="Cambria" w:cs="Minion Pro"/>
          <w:b/>
          <w:i/>
          <w:color w:val="000000"/>
          <w:sz w:val="32"/>
          <w:szCs w:val="32"/>
        </w:rPr>
      </w:pPr>
    </w:p>
    <w:p w14:paraId="688D2116" w14:textId="20ED4CDD" w:rsidR="004970EC" w:rsidRPr="0091657E" w:rsidRDefault="004970EC" w:rsidP="004970EC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>Documento predisposto da: -</w:t>
      </w:r>
    </w:p>
    <w:p w14:paraId="093B4514" w14:textId="77777777" w:rsidR="004970EC" w:rsidRPr="0091657E" w:rsidRDefault="004970EC" w:rsidP="004970EC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Confcommercio UNIASCOM Varese – </w:t>
      </w:r>
    </w:p>
    <w:p w14:paraId="2118AB55" w14:textId="77777777" w:rsidR="004970EC" w:rsidRDefault="004970EC" w:rsidP="004970EC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91657E">
        <w:rPr>
          <w:rFonts w:ascii="Cambria" w:hAnsi="Cambria" w:cs="Minion Pro"/>
          <w:b/>
          <w:color w:val="000000"/>
          <w:sz w:val="32"/>
          <w:szCs w:val="32"/>
        </w:rPr>
        <w:t xml:space="preserve">Servizio igiene, salute e sicurezza – </w:t>
      </w:r>
    </w:p>
    <w:p w14:paraId="567CCE33" w14:textId="77777777" w:rsidR="004970EC" w:rsidRDefault="004970EC" w:rsidP="004970EC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6C535B">
        <w:rPr>
          <w:rFonts w:ascii="Cambria" w:hAnsi="Cambria" w:cs="Minion Pro"/>
          <w:b/>
          <w:color w:val="000000"/>
          <w:sz w:val="32"/>
          <w:szCs w:val="32"/>
        </w:rPr>
        <w:t xml:space="preserve">Dott. Luca Monticelli </w:t>
      </w:r>
    </w:p>
    <w:p w14:paraId="6EADE818" w14:textId="19A127B3" w:rsidR="004970EC" w:rsidRPr="006C535B" w:rsidRDefault="008D0AC9" w:rsidP="006C535B">
      <w:pPr>
        <w:autoSpaceDE w:val="0"/>
        <w:autoSpaceDN w:val="0"/>
        <w:adjustRightInd w:val="0"/>
        <w:spacing w:after="0" w:line="241" w:lineRule="atLeast"/>
        <w:jc w:val="center"/>
        <w:rPr>
          <w:rFonts w:ascii="Cambria" w:hAnsi="Cambria" w:cs="Minion Pro"/>
          <w:b/>
          <w:color w:val="000000"/>
          <w:sz w:val="32"/>
          <w:szCs w:val="32"/>
        </w:rPr>
      </w:pPr>
      <w:r w:rsidRPr="006C535B">
        <w:rPr>
          <w:rFonts w:ascii="Cambria" w:hAnsi="Cambria" w:cs="Minion Pro"/>
          <w:b/>
          <w:color w:val="000000"/>
          <w:sz w:val="28"/>
          <w:szCs w:val="28"/>
        </w:rPr>
        <w:br w:type="page"/>
      </w:r>
    </w:p>
    <w:p w14:paraId="7E871446" w14:textId="13C36309" w:rsidR="00550C33" w:rsidRPr="001B6EBC" w:rsidRDefault="001B6EBC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 w:rsidRPr="001B6EBC">
        <w:rPr>
          <w:rFonts w:ascii="Cambria" w:hAnsi="Cambria" w:cs="Minion Pro"/>
          <w:b/>
          <w:color w:val="000000"/>
          <w:sz w:val="28"/>
          <w:szCs w:val="28"/>
        </w:rPr>
        <w:lastRenderedPageBreak/>
        <w:t>Scopo del documento</w:t>
      </w:r>
    </w:p>
    <w:p w14:paraId="6CE8D75A" w14:textId="3481E7A3" w:rsidR="00550C33" w:rsidRPr="001B6EBC" w:rsidRDefault="001B6EBC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Il presente addendum al Manuale di Autocontrollo</w:t>
      </w:r>
      <w:r w:rsidR="00B42D05">
        <w:rPr>
          <w:rFonts w:ascii="Cambria" w:hAnsi="Cambria" w:cs="Minion Pro"/>
          <w:color w:val="000000"/>
          <w:sz w:val="24"/>
          <w:szCs w:val="24"/>
        </w:rPr>
        <w:t xml:space="preserve"> aziendale</w:t>
      </w:r>
      <w:r>
        <w:rPr>
          <w:rFonts w:ascii="Cambria" w:hAnsi="Cambria" w:cs="Minion Pro"/>
          <w:color w:val="000000"/>
          <w:sz w:val="24"/>
          <w:szCs w:val="24"/>
        </w:rPr>
        <w:t xml:space="preserve"> definisce e identifica le azioni messe in atto da parte degli</w:t>
      </w:r>
      <w:r w:rsidR="00360DAC" w:rsidRPr="001B6EBC">
        <w:rPr>
          <w:rFonts w:ascii="Cambria" w:hAnsi="Cambria" w:cs="Minion Pro"/>
          <w:color w:val="000000"/>
          <w:sz w:val="24"/>
          <w:szCs w:val="24"/>
        </w:rPr>
        <w:t xml:space="preserve"> esercizi di somministrazione e vendita aderenti </w:t>
      </w:r>
      <w:r w:rsidR="00364D46" w:rsidRPr="001B6EBC">
        <w:rPr>
          <w:rFonts w:ascii="Cambria" w:hAnsi="Cambria" w:cs="Minion Pro"/>
          <w:color w:val="000000"/>
          <w:sz w:val="24"/>
          <w:szCs w:val="24"/>
        </w:rPr>
        <w:t xml:space="preserve">al progetto </w:t>
      </w:r>
      <w:r w:rsidR="00B42D05">
        <w:rPr>
          <w:rFonts w:ascii="Cambria" w:hAnsi="Cambria" w:cs="Minion Pro"/>
          <w:b/>
          <w:i/>
          <w:color w:val="000000"/>
          <w:sz w:val="24"/>
          <w:szCs w:val="24"/>
        </w:rPr>
        <w:t>Spesa Sballata 3</w:t>
      </w:r>
      <w:r w:rsidR="00364D46" w:rsidRPr="001B6EBC">
        <w:rPr>
          <w:rFonts w:ascii="Cambria" w:hAnsi="Cambria" w:cs="Minion Pro"/>
          <w:color w:val="000000"/>
          <w:sz w:val="24"/>
          <w:szCs w:val="24"/>
        </w:rPr>
        <w:t xml:space="preserve"> </w:t>
      </w:r>
      <w:r w:rsidR="00360DAC" w:rsidRPr="001B6EBC">
        <w:rPr>
          <w:rFonts w:ascii="Cambria" w:hAnsi="Cambria" w:cs="Minion Pro"/>
          <w:color w:val="000000"/>
          <w:sz w:val="24"/>
          <w:szCs w:val="24"/>
        </w:rPr>
        <w:t xml:space="preserve">e 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l</w:t>
      </w:r>
      <w:r>
        <w:rPr>
          <w:rFonts w:ascii="Cambria" w:hAnsi="Cambria" w:cs="Minion Pro"/>
          <w:color w:val="000000"/>
          <w:sz w:val="24"/>
          <w:szCs w:val="24"/>
        </w:rPr>
        <w:t xml:space="preserve">e indicazioni che gli stessi trasferiranno agli 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acquirent</w:t>
      </w:r>
      <w:r>
        <w:rPr>
          <w:rFonts w:ascii="Cambria" w:hAnsi="Cambria" w:cs="Minion Pro"/>
          <w:color w:val="000000"/>
          <w:sz w:val="24"/>
          <w:szCs w:val="24"/>
        </w:rPr>
        <w:t>i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 xml:space="preserve"> </w:t>
      </w:r>
      <w:r>
        <w:rPr>
          <w:rFonts w:ascii="Cambria" w:hAnsi="Cambria" w:cs="Minion Pro"/>
          <w:color w:val="000000"/>
          <w:sz w:val="24"/>
          <w:szCs w:val="24"/>
        </w:rPr>
        <w:t>per una gestione dei contenitori riutilizzabili</w:t>
      </w:r>
      <w:r w:rsidR="00057403">
        <w:rPr>
          <w:rStyle w:val="FootnoteAnchor"/>
          <w:rFonts w:asciiTheme="majorHAnsi" w:hAnsiTheme="majorHAnsi" w:cstheme="majorBidi"/>
        </w:rPr>
        <w:footnoteReference w:id="1"/>
      </w:r>
      <w:r>
        <w:rPr>
          <w:rFonts w:ascii="Cambria" w:hAnsi="Cambria" w:cs="Minion Pro"/>
          <w:color w:val="000000"/>
          <w:sz w:val="24"/>
          <w:szCs w:val="24"/>
        </w:rPr>
        <w:t xml:space="preserve"> in uso</w:t>
      </w:r>
      <w:r w:rsidR="001F1ACA">
        <w:rPr>
          <w:rFonts w:ascii="Cambria" w:hAnsi="Cambria" w:cs="Minion Pro"/>
          <w:color w:val="000000"/>
          <w:sz w:val="24"/>
          <w:szCs w:val="24"/>
        </w:rPr>
        <w:t>,</w:t>
      </w:r>
      <w:r>
        <w:rPr>
          <w:rFonts w:ascii="Cambria" w:hAnsi="Cambria" w:cs="Minion Pro"/>
          <w:color w:val="000000"/>
          <w:sz w:val="24"/>
          <w:szCs w:val="24"/>
        </w:rPr>
        <w:t xml:space="preserve"> al fine di garantire il rispetto della normativa in materia di Igiene degli alimenti</w:t>
      </w:r>
      <w:r w:rsidR="00550C33" w:rsidRPr="001B6EBC">
        <w:rPr>
          <w:rFonts w:ascii="Cambria" w:hAnsi="Cambria" w:cs="Minion Pro"/>
          <w:color w:val="000000"/>
          <w:sz w:val="24"/>
          <w:szCs w:val="24"/>
        </w:rPr>
        <w:t>.</w:t>
      </w:r>
    </w:p>
    <w:p w14:paraId="3B9A8E3C" w14:textId="77777777" w:rsidR="00550C33" w:rsidRDefault="00550C33" w:rsidP="00550C33">
      <w:pPr>
        <w:autoSpaceDE w:val="0"/>
        <w:autoSpaceDN w:val="0"/>
        <w:adjustRightInd w:val="0"/>
        <w:spacing w:after="0" w:line="241" w:lineRule="atLeast"/>
        <w:jc w:val="both"/>
        <w:rPr>
          <w:rFonts w:ascii="Minion Pro" w:hAnsi="Minion Pro" w:cs="Minion Pro"/>
          <w:color w:val="000000"/>
          <w:sz w:val="24"/>
          <w:szCs w:val="24"/>
        </w:rPr>
      </w:pPr>
    </w:p>
    <w:p w14:paraId="10AC099B" w14:textId="27FBACFA" w:rsidR="00B42D05" w:rsidRPr="001B6EBC" w:rsidRDefault="00B42D05" w:rsidP="00B42D05">
      <w:pPr>
        <w:autoSpaceDE w:val="0"/>
        <w:autoSpaceDN w:val="0"/>
        <w:adjustRightInd w:val="0"/>
        <w:spacing w:after="0" w:line="241" w:lineRule="atLeast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Procedura operativa per esercizi di somministrazione (pizzeria)</w:t>
      </w:r>
    </w:p>
    <w:p w14:paraId="7A33E3BF" w14:textId="42E11447" w:rsidR="00B42D05" w:rsidRDefault="00B42D05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L’esercizio di somministrazione utilizza idonei contenitori 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riutilizzabili </w:t>
      </w:r>
      <w:r>
        <w:rPr>
          <w:rFonts w:ascii="Cambria" w:hAnsi="Cambria" w:cs="Minion Pro"/>
          <w:color w:val="000000"/>
          <w:sz w:val="24"/>
          <w:szCs w:val="24"/>
        </w:rPr>
        <w:t>di pla</w:t>
      </w:r>
      <w:r w:rsidR="005C2102">
        <w:rPr>
          <w:rFonts w:ascii="Cambria" w:hAnsi="Cambria" w:cs="Minion Pro"/>
          <w:color w:val="000000"/>
          <w:sz w:val="24"/>
          <w:szCs w:val="24"/>
        </w:rPr>
        <w:t>s</w:t>
      </w:r>
      <w:r>
        <w:rPr>
          <w:rFonts w:ascii="Cambria" w:hAnsi="Cambria" w:cs="Minion Pro"/>
          <w:color w:val="000000"/>
          <w:sz w:val="24"/>
          <w:szCs w:val="24"/>
        </w:rPr>
        <w:t>tica</w:t>
      </w:r>
      <w:r w:rsidR="005C2102">
        <w:rPr>
          <w:rFonts w:ascii="Cambria" w:hAnsi="Cambria" w:cs="Minion Pro"/>
          <w:color w:val="000000"/>
          <w:sz w:val="24"/>
          <w:szCs w:val="24"/>
        </w:rPr>
        <w:t>, nello specifico: “</w:t>
      </w:r>
      <w:proofErr w:type="spellStart"/>
      <w:r w:rsidR="005C2102" w:rsidRPr="005C2102">
        <w:rPr>
          <w:rFonts w:ascii="Cambria" w:hAnsi="Cambria" w:cs="Minion Pro"/>
          <w:b/>
          <w:color w:val="000000"/>
          <w:sz w:val="24"/>
          <w:szCs w:val="24"/>
        </w:rPr>
        <w:t>PIZZycle</w:t>
      </w:r>
      <w:proofErr w:type="spellEnd"/>
      <w:r w:rsidR="005C2102">
        <w:rPr>
          <w:rFonts w:ascii="Cambria" w:hAnsi="Cambria" w:cs="Minion Pro"/>
          <w:color w:val="000000"/>
          <w:sz w:val="24"/>
          <w:szCs w:val="24"/>
        </w:rPr>
        <w:t xml:space="preserve">” </w:t>
      </w:r>
      <w:r w:rsidR="006C535B">
        <w:rPr>
          <w:rFonts w:ascii="Cambria" w:hAnsi="Cambria" w:cs="Minion Pro"/>
          <w:color w:val="000000"/>
          <w:sz w:val="24"/>
          <w:szCs w:val="24"/>
        </w:rPr>
        <w:t xml:space="preserve">forniti dal partner operativo di progetto </w:t>
      </w:r>
      <w:r w:rsidR="005C2102">
        <w:rPr>
          <w:rFonts w:ascii="Cambria" w:hAnsi="Cambria" w:cs="Minion Pro"/>
          <w:color w:val="000000"/>
          <w:sz w:val="24"/>
          <w:szCs w:val="24"/>
        </w:rPr>
        <w:t>“</w:t>
      </w:r>
      <w:r w:rsidR="005C2102" w:rsidRPr="005C2102">
        <w:rPr>
          <w:rFonts w:ascii="Cambria" w:hAnsi="Cambria" w:cs="Minion Pro"/>
          <w:b/>
          <w:color w:val="000000"/>
          <w:sz w:val="24"/>
          <w:szCs w:val="24"/>
        </w:rPr>
        <w:t>AROUND</w:t>
      </w:r>
      <w:r w:rsidR="00782367">
        <w:rPr>
          <w:rFonts w:ascii="Cambria" w:hAnsi="Cambria" w:cs="Minion Pro"/>
          <w:b/>
          <w:color w:val="000000"/>
          <w:sz w:val="24"/>
          <w:szCs w:val="24"/>
        </w:rPr>
        <w:t xml:space="preserve"> RS</w:t>
      </w:r>
      <w:r w:rsidR="005C2102">
        <w:rPr>
          <w:rFonts w:ascii="Cambria" w:hAnsi="Cambria" w:cs="Minion Pro"/>
          <w:color w:val="000000"/>
          <w:sz w:val="24"/>
          <w:szCs w:val="24"/>
        </w:rPr>
        <w:t>”</w:t>
      </w:r>
      <w:r>
        <w:rPr>
          <w:rFonts w:ascii="Cambria" w:hAnsi="Cambria" w:cs="Minion Pro"/>
          <w:color w:val="000000"/>
          <w:sz w:val="24"/>
          <w:szCs w:val="24"/>
        </w:rPr>
        <w:t xml:space="preserve"> </w:t>
      </w:r>
      <w:r w:rsidR="005C2102">
        <w:rPr>
          <w:rFonts w:ascii="Cambria" w:hAnsi="Cambria" w:cs="Minion Pro"/>
          <w:color w:val="000000"/>
          <w:sz w:val="24"/>
          <w:szCs w:val="24"/>
        </w:rPr>
        <w:t xml:space="preserve">che vengono forniti ai clienti 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con gestione della cauzione in </w:t>
      </w:r>
      <w:r w:rsidR="001F1ACA" w:rsidRPr="006C535B">
        <w:rPr>
          <w:rFonts w:ascii="Cambria" w:hAnsi="Cambria" w:cs="Minion Pro"/>
          <w:i/>
          <w:iCs/>
          <w:color w:val="000000"/>
          <w:sz w:val="24"/>
          <w:szCs w:val="24"/>
        </w:rPr>
        <w:t>cloud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 tramite </w:t>
      </w:r>
      <w:r w:rsidR="001F1ACA" w:rsidRPr="006C535B">
        <w:rPr>
          <w:rFonts w:ascii="Cambria" w:hAnsi="Cambria" w:cs="Minion Pro"/>
          <w:i/>
          <w:iCs/>
          <w:color w:val="000000"/>
          <w:sz w:val="24"/>
          <w:szCs w:val="24"/>
        </w:rPr>
        <w:t>app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 e </w:t>
      </w:r>
      <w:r w:rsidR="005C2102">
        <w:rPr>
          <w:rFonts w:ascii="Cambria" w:hAnsi="Cambria" w:cs="Minion Pro"/>
          <w:color w:val="000000"/>
          <w:sz w:val="24"/>
          <w:szCs w:val="24"/>
        </w:rPr>
        <w:t>con necessità</w:t>
      </w:r>
      <w:r w:rsidR="009164E9">
        <w:rPr>
          <w:rFonts w:ascii="Cambria" w:hAnsi="Cambria" w:cs="Minion Pro"/>
          <w:color w:val="000000"/>
          <w:sz w:val="24"/>
          <w:szCs w:val="24"/>
        </w:rPr>
        <w:t xml:space="preserve"> di riconsegna dopo l’utilizzo </w:t>
      </w:r>
      <w:r w:rsidR="00782367">
        <w:rPr>
          <w:rFonts w:ascii="Cambria" w:hAnsi="Cambria" w:cs="Minion Pro"/>
          <w:color w:val="000000"/>
          <w:sz w:val="24"/>
          <w:szCs w:val="24"/>
        </w:rPr>
        <w:t>entro un termine massimo</w:t>
      </w:r>
      <w:r w:rsidR="006C535B">
        <w:rPr>
          <w:rFonts w:ascii="Cambria" w:hAnsi="Cambria" w:cs="Minion Pro"/>
          <w:color w:val="000000"/>
          <w:sz w:val="24"/>
          <w:szCs w:val="24"/>
        </w:rPr>
        <w:t xml:space="preserve"> da parte del cliente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. L’esercizio di somministrazione utilizza la </w:t>
      </w:r>
      <w:r w:rsidR="009164E9">
        <w:rPr>
          <w:rFonts w:ascii="Cambria" w:hAnsi="Cambria" w:cs="Minion Pro"/>
          <w:color w:val="000000"/>
          <w:sz w:val="24"/>
          <w:szCs w:val="24"/>
        </w:rPr>
        <w:t xml:space="preserve">rotella </w:t>
      </w:r>
      <w:proofErr w:type="spellStart"/>
      <w:r w:rsidR="009164E9">
        <w:rPr>
          <w:rFonts w:ascii="Cambria" w:hAnsi="Cambria" w:cs="Minion Pro"/>
          <w:color w:val="000000"/>
          <w:sz w:val="24"/>
          <w:szCs w:val="24"/>
        </w:rPr>
        <w:t>tagliapizza</w:t>
      </w:r>
      <w:proofErr w:type="spellEnd"/>
      <w:r w:rsidR="009164E9">
        <w:rPr>
          <w:rFonts w:ascii="Cambria" w:hAnsi="Cambria" w:cs="Minion Pro"/>
          <w:color w:val="000000"/>
          <w:sz w:val="24"/>
          <w:szCs w:val="24"/>
        </w:rPr>
        <w:t xml:space="preserve"> in nylon.</w:t>
      </w:r>
    </w:p>
    <w:p w14:paraId="5502089B" w14:textId="193B72FE" w:rsidR="005C2102" w:rsidRDefault="00632A0C" w:rsidP="005C2102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Stoccaggio dei contenitori</w:t>
      </w:r>
    </w:p>
    <w:p w14:paraId="12A1F873" w14:textId="72F737DB" w:rsidR="00632A0C" w:rsidRDefault="00632A0C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I contenitori vengono conservati in appositi pensili richiudibili </w:t>
      </w:r>
      <w:r w:rsidR="009164E9">
        <w:rPr>
          <w:rFonts w:ascii="Cambria" w:hAnsi="Cambria" w:cs="Minion Pro"/>
          <w:color w:val="000000"/>
          <w:sz w:val="24"/>
          <w:szCs w:val="24"/>
        </w:rPr>
        <w:t xml:space="preserve">al riparo da qualsiasi fonte di </w:t>
      </w:r>
      <w:r>
        <w:rPr>
          <w:rFonts w:ascii="Cambria" w:hAnsi="Cambria" w:cs="Minion Pro"/>
          <w:color w:val="000000"/>
          <w:sz w:val="24"/>
          <w:szCs w:val="24"/>
        </w:rPr>
        <w:t>contaminazione.</w:t>
      </w:r>
    </w:p>
    <w:p w14:paraId="06B9312E" w14:textId="77777777" w:rsidR="00632A0C" w:rsidRDefault="00632A0C" w:rsidP="00632A0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Utilizzo dei contenitori</w:t>
      </w:r>
    </w:p>
    <w:p w14:paraId="17BADFA4" w14:textId="2E461C73" w:rsidR="00632A0C" w:rsidRDefault="0011089C" w:rsidP="00632A0C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I contenitori non vengono mai lasciati vicino a fonti di calore (forno) prima e durante il loro utilizzo. </w:t>
      </w:r>
      <w:r w:rsidR="00632A0C">
        <w:rPr>
          <w:rFonts w:ascii="Cambria" w:hAnsi="Cambria" w:cs="Minion Pro"/>
          <w:color w:val="000000"/>
          <w:sz w:val="24"/>
          <w:szCs w:val="24"/>
        </w:rPr>
        <w:t xml:space="preserve">L’esercente si impegna ad effettuare l’eventuale taglio della pizza </w:t>
      </w:r>
      <w:r w:rsidR="009164E9">
        <w:rPr>
          <w:rFonts w:ascii="Cambria" w:hAnsi="Cambria" w:cs="Minion Pro"/>
          <w:color w:val="000000"/>
          <w:sz w:val="24"/>
          <w:szCs w:val="24"/>
        </w:rPr>
        <w:t xml:space="preserve">con l’apposita rotella in nylon oppure </w:t>
      </w:r>
      <w:r w:rsidR="00632A0C">
        <w:rPr>
          <w:rFonts w:ascii="Cambria" w:hAnsi="Cambria" w:cs="Minion Pro"/>
          <w:color w:val="000000"/>
          <w:sz w:val="24"/>
          <w:szCs w:val="24"/>
        </w:rPr>
        <w:t>prima di inserirla nel contenitore</w:t>
      </w:r>
      <w:r w:rsidR="001F1ACA">
        <w:rPr>
          <w:rFonts w:ascii="Cambria" w:hAnsi="Cambria" w:cs="Minion Pro"/>
          <w:color w:val="000000"/>
          <w:sz w:val="24"/>
          <w:szCs w:val="24"/>
        </w:rPr>
        <w:t>,</w:t>
      </w:r>
      <w:r w:rsidR="00632A0C">
        <w:rPr>
          <w:rFonts w:ascii="Cambria" w:hAnsi="Cambria" w:cs="Minion Pro"/>
          <w:color w:val="000000"/>
          <w:sz w:val="24"/>
          <w:szCs w:val="24"/>
        </w:rPr>
        <w:t xml:space="preserve"> in modo da evitare qualsiasi possibile rigatura della parte interna. Tale attenzione non è un vincolo tassativo ma una buona prassi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, </w:t>
      </w:r>
      <w:r w:rsidR="00632A0C">
        <w:rPr>
          <w:rFonts w:ascii="Cambria" w:hAnsi="Cambria" w:cs="Minion Pro"/>
          <w:color w:val="000000"/>
          <w:sz w:val="24"/>
          <w:szCs w:val="24"/>
        </w:rPr>
        <w:t>che permette di garantire una conservazione migliore nel tempo</w:t>
      </w:r>
      <w:r w:rsidR="009164E9">
        <w:rPr>
          <w:rFonts w:ascii="Cambria" w:hAnsi="Cambria" w:cs="Minion Pro"/>
          <w:color w:val="000000"/>
          <w:sz w:val="24"/>
          <w:szCs w:val="24"/>
        </w:rPr>
        <w:t xml:space="preserve"> dei contenitori riutilizzabili</w:t>
      </w:r>
      <w:r w:rsidR="00632A0C">
        <w:rPr>
          <w:rFonts w:ascii="Cambria" w:hAnsi="Cambria" w:cs="Minion Pro"/>
          <w:color w:val="000000"/>
          <w:sz w:val="24"/>
          <w:szCs w:val="24"/>
        </w:rPr>
        <w:t xml:space="preserve">. </w:t>
      </w:r>
    </w:p>
    <w:p w14:paraId="22F0A315" w14:textId="6D8C3F22" w:rsidR="00632A0C" w:rsidRDefault="00632A0C" w:rsidP="00632A0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 w:rsidRPr="00632A0C">
        <w:rPr>
          <w:rFonts w:ascii="Cambria" w:hAnsi="Cambria" w:cs="Minion Pro"/>
          <w:b/>
          <w:color w:val="000000"/>
          <w:sz w:val="28"/>
          <w:szCs w:val="28"/>
        </w:rPr>
        <w:t xml:space="preserve">Sanificazione dei contenitori </w:t>
      </w:r>
    </w:p>
    <w:p w14:paraId="043FC1F1" w14:textId="2CB98476" w:rsidR="00632A0C" w:rsidRDefault="00632A0C" w:rsidP="00632A0C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I contenitori vengono, una volta riconsegnati dal cliente, inseriti in lavastoviglie al fine di garantire una corretta sanificazione</w:t>
      </w:r>
      <w:r w:rsidR="006E00A2">
        <w:rPr>
          <w:rFonts w:ascii="Cambria" w:hAnsi="Cambria" w:cs="Minion Pro"/>
          <w:color w:val="000000"/>
          <w:sz w:val="24"/>
          <w:szCs w:val="24"/>
        </w:rPr>
        <w:t xml:space="preserve"> e poi stoccati in appositi pensili fino al loro riutilizzo.</w:t>
      </w:r>
    </w:p>
    <w:p w14:paraId="158D33DB" w14:textId="447BBCA9" w:rsidR="00632A0C" w:rsidRPr="00632A0C" w:rsidRDefault="006E00A2" w:rsidP="00632A0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Gestione di eventuali non conformità</w:t>
      </w:r>
    </w:p>
    <w:p w14:paraId="16F59DCF" w14:textId="2093ACF0" w:rsidR="006E00A2" w:rsidRDefault="006E00A2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Le possibili non conformità potrebbero essere:</w:t>
      </w:r>
    </w:p>
    <w:p w14:paraId="457C4EF3" w14:textId="63D78AE2" w:rsidR="006E00A2" w:rsidRDefault="006E00A2" w:rsidP="00550C33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 xml:space="preserve">a) contenitore ritenuto non conforme alla riconsegna da parte del cliente. Nel caso di tale non conformità l’esercente valuterà l’eventuale azione da adottare, se eliminare dall’uso il suddetto contenitore o se possibile ripristinare le condizioni di idoneità iniziale del contenitore </w:t>
      </w:r>
      <w:r w:rsidR="001F1ACA">
        <w:rPr>
          <w:rFonts w:ascii="Cambria" w:hAnsi="Cambria" w:cs="Minion Pro"/>
          <w:color w:val="000000"/>
          <w:sz w:val="24"/>
          <w:szCs w:val="24"/>
        </w:rPr>
        <w:t xml:space="preserve">per </w:t>
      </w:r>
      <w:r>
        <w:rPr>
          <w:rFonts w:ascii="Cambria" w:hAnsi="Cambria" w:cs="Minion Pro"/>
          <w:color w:val="000000"/>
          <w:sz w:val="24"/>
          <w:szCs w:val="24"/>
        </w:rPr>
        <w:t>poterlo riutilizzare.</w:t>
      </w:r>
    </w:p>
    <w:p w14:paraId="5B449D90" w14:textId="0FB89D4A" w:rsidR="005C2102" w:rsidRPr="005C2102" w:rsidRDefault="006E00A2" w:rsidP="00550C33">
      <w:pPr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color w:val="000000"/>
          <w:sz w:val="24"/>
          <w:szCs w:val="24"/>
        </w:rPr>
        <w:t>b) contenitore assolutamente non idoneo al riutilizzo; lo stesso verrà eliminato e verrà registrata la non conformità sull’apposita scheda di registrazione delle non conformità</w:t>
      </w:r>
      <w:r w:rsidR="00782367">
        <w:rPr>
          <w:rFonts w:ascii="Cambria" w:hAnsi="Cambria" w:cs="Minion Pro"/>
          <w:color w:val="000000"/>
          <w:sz w:val="24"/>
          <w:szCs w:val="24"/>
        </w:rPr>
        <w:t>,</w:t>
      </w:r>
      <w:r>
        <w:rPr>
          <w:rFonts w:ascii="Cambria" w:hAnsi="Cambria" w:cs="Minion Pro"/>
          <w:color w:val="000000"/>
          <w:sz w:val="24"/>
          <w:szCs w:val="24"/>
        </w:rPr>
        <w:t xml:space="preserve"> con descrizione delle motivazioni che hanno portato alla sua eliminazione.</w:t>
      </w:r>
    </w:p>
    <w:p w14:paraId="19DDE975" w14:textId="1C83158D" w:rsidR="006B569F" w:rsidRDefault="006B569F" w:rsidP="006B569F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>Scheda di registrazione delle non conformità</w:t>
      </w:r>
    </w:p>
    <w:p w14:paraId="1E49A6C6" w14:textId="3DB143DA" w:rsidR="006B569F" w:rsidRDefault="006B569F" w:rsidP="006B569F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lastRenderedPageBreak/>
        <w:t>Scheda in allegato da compilare in caso di non conformità</w:t>
      </w:r>
      <w:r w:rsidR="00782367">
        <w:rPr>
          <w:rFonts w:ascii="Cambria" w:hAnsi="Cambria" w:cs="Minion Pro"/>
          <w:color w:val="000000"/>
          <w:sz w:val="24"/>
          <w:szCs w:val="24"/>
        </w:rPr>
        <w:t>,</w:t>
      </w:r>
      <w:r w:rsidR="00162B28">
        <w:rPr>
          <w:rFonts w:ascii="Cambria" w:hAnsi="Cambria" w:cs="Minion Pro"/>
          <w:color w:val="000000"/>
          <w:sz w:val="24"/>
          <w:szCs w:val="24"/>
        </w:rPr>
        <w:t xml:space="preserve"> registrando la data dell’eventuale non conformità riscontrata, l’operatore che l’ha riscontrata, il motivo della non conformità e l’eventuale azione correttiva adottata.</w:t>
      </w:r>
    </w:p>
    <w:p w14:paraId="3922138A" w14:textId="1F30F51F" w:rsidR="006B569F" w:rsidRDefault="006B569F" w:rsidP="0011089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</w:p>
    <w:p w14:paraId="68223EED" w14:textId="3438717E" w:rsidR="0011089C" w:rsidRPr="00632A0C" w:rsidRDefault="001F1ACA" w:rsidP="0011089C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8D11673" wp14:editId="21DCEAEE">
            <wp:simplePos x="0" y="0"/>
            <wp:positionH relativeFrom="margin">
              <wp:posOffset>4318000</wp:posOffset>
            </wp:positionH>
            <wp:positionV relativeFrom="margin">
              <wp:posOffset>998220</wp:posOffset>
            </wp:positionV>
            <wp:extent cx="359410" cy="359410"/>
            <wp:effectExtent l="0" t="0" r="2540" b="2540"/>
            <wp:wrapSquare wrapText="bothSides"/>
            <wp:docPr id="25" name="Immagine 25" descr="ABC dei MOCA, i Materiali e Oggetti a Contatto con Alimenti - Consumatori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C dei MOCA, i Materiali e Oggetti a Contatto con Alimenti - Consumatori.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089C">
        <w:rPr>
          <w:rFonts w:ascii="Cambria" w:hAnsi="Cambria" w:cs="Minion Pro"/>
          <w:b/>
          <w:color w:val="000000"/>
          <w:sz w:val="28"/>
          <w:szCs w:val="28"/>
        </w:rPr>
        <w:t>Caratteristiche dei contenitori</w:t>
      </w:r>
    </w:p>
    <w:p w14:paraId="04D4FD0B" w14:textId="05B14278" w:rsidR="0011089C" w:rsidRDefault="0011089C" w:rsidP="0011089C">
      <w:pPr>
        <w:jc w:val="both"/>
        <w:rPr>
          <w:rFonts w:ascii="Cambria" w:hAnsi="Cambria" w:cs="Minion Pro"/>
          <w:color w:val="000000"/>
          <w:sz w:val="24"/>
          <w:szCs w:val="24"/>
        </w:rPr>
      </w:pPr>
      <w:r>
        <w:rPr>
          <w:rFonts w:ascii="Cambria" w:hAnsi="Cambria" w:cs="Minion Pro"/>
          <w:color w:val="000000"/>
          <w:sz w:val="24"/>
          <w:szCs w:val="24"/>
        </w:rPr>
        <w:t>I contenitori sono i</w:t>
      </w:r>
      <w:r w:rsidR="008D0AC9">
        <w:rPr>
          <w:rFonts w:ascii="Cambria" w:hAnsi="Cambria" w:cs="Minion Pro"/>
          <w:color w:val="000000"/>
          <w:sz w:val="24"/>
          <w:szCs w:val="24"/>
        </w:rPr>
        <w:t>donei al contatto con alimenti</w:t>
      </w:r>
      <w:r w:rsidR="008D0AC9">
        <w:rPr>
          <w:rStyle w:val="FootnoteAnchor"/>
          <w:rFonts w:asciiTheme="majorHAnsi" w:hAnsiTheme="majorHAnsi" w:cstheme="majorHAnsi"/>
        </w:rPr>
        <w:footnoteReference w:id="2"/>
      </w:r>
      <w:r w:rsidR="008D0AC9">
        <w:rPr>
          <w:rFonts w:ascii="Cambria" w:hAnsi="Cambria" w:cs="Minion Pro"/>
          <w:color w:val="000000"/>
          <w:sz w:val="24"/>
          <w:szCs w:val="24"/>
        </w:rPr>
        <w:t xml:space="preserve"> e senza BPA </w:t>
      </w:r>
    </w:p>
    <w:p w14:paraId="2B2E376B" w14:textId="369DED3C" w:rsidR="00C40752" w:rsidRPr="00632A0C" w:rsidRDefault="00C40752" w:rsidP="00C40752">
      <w:pPr>
        <w:spacing w:after="0" w:line="240" w:lineRule="auto"/>
        <w:jc w:val="both"/>
        <w:rPr>
          <w:rFonts w:ascii="Cambria" w:hAnsi="Cambria" w:cs="Minion Pro"/>
          <w:b/>
          <w:color w:val="000000"/>
          <w:sz w:val="28"/>
          <w:szCs w:val="28"/>
        </w:rPr>
      </w:pPr>
      <w:r>
        <w:rPr>
          <w:rFonts w:ascii="Cambria" w:hAnsi="Cambria" w:cs="Minion Pro"/>
          <w:b/>
          <w:color w:val="000000"/>
          <w:sz w:val="28"/>
          <w:szCs w:val="28"/>
        </w:rPr>
        <w:t xml:space="preserve">Formazione </w:t>
      </w:r>
      <w:r w:rsidR="009164E9">
        <w:rPr>
          <w:rFonts w:ascii="Cambria" w:hAnsi="Cambria" w:cs="Minion Pro"/>
          <w:b/>
          <w:color w:val="000000"/>
          <w:sz w:val="28"/>
          <w:szCs w:val="28"/>
        </w:rPr>
        <w:t>mirata sul progetto al</w:t>
      </w:r>
      <w:r>
        <w:rPr>
          <w:rFonts w:ascii="Cambria" w:hAnsi="Cambria" w:cs="Minion Pro"/>
          <w:b/>
          <w:color w:val="000000"/>
          <w:sz w:val="28"/>
          <w:szCs w:val="28"/>
        </w:rPr>
        <w:t xml:space="preserve"> personale</w:t>
      </w:r>
    </w:p>
    <w:p w14:paraId="55FECECF" w14:textId="1B4E3AB7" w:rsidR="006B569F" w:rsidRDefault="00C40752" w:rsidP="00C40752">
      <w:pPr>
        <w:jc w:val="both"/>
        <w:rPr>
          <w:rFonts w:asciiTheme="majorHAnsi" w:hAnsiTheme="majorHAnsi" w:cstheme="majorHAnsi"/>
        </w:rPr>
      </w:pPr>
      <w:r>
        <w:rPr>
          <w:rFonts w:ascii="Cambria" w:hAnsi="Cambria" w:cs="Minion Pro"/>
          <w:color w:val="000000"/>
          <w:sz w:val="24"/>
          <w:szCs w:val="24"/>
        </w:rPr>
        <w:t>Il personale ha ricevuto una formazione specifica in</w:t>
      </w:r>
      <w:r w:rsidR="00057403">
        <w:rPr>
          <w:rFonts w:ascii="Cambria" w:hAnsi="Cambria" w:cs="Minion Pro"/>
          <w:color w:val="000000"/>
          <w:sz w:val="24"/>
          <w:szCs w:val="24"/>
        </w:rPr>
        <w:t xml:space="preserve"> merito agli aspetti ambientali e di igiene degli alimenti da parte di tecnici di ATS Insubria. </w:t>
      </w:r>
      <w:r w:rsidR="006C0BBF">
        <w:rPr>
          <w:rFonts w:ascii="Cambria" w:hAnsi="Cambria" w:cs="Minion Pro"/>
          <w:color w:val="000000"/>
          <w:sz w:val="24"/>
          <w:szCs w:val="24"/>
        </w:rPr>
        <w:t xml:space="preserve">Gli operatori </w:t>
      </w:r>
      <w:r w:rsidR="00057403">
        <w:rPr>
          <w:rFonts w:ascii="Cambria" w:hAnsi="Cambria" w:cs="Minion Pro"/>
          <w:color w:val="000000"/>
          <w:sz w:val="24"/>
          <w:szCs w:val="24"/>
        </w:rPr>
        <w:t xml:space="preserve">che non hanno partecipato a tale evento formativo </w:t>
      </w:r>
      <w:proofErr w:type="gramStart"/>
      <w:r w:rsidR="00057403">
        <w:rPr>
          <w:rFonts w:ascii="Cambria" w:hAnsi="Cambria" w:cs="Minion Pro"/>
          <w:color w:val="000000"/>
          <w:sz w:val="24"/>
          <w:szCs w:val="24"/>
        </w:rPr>
        <w:t>sono state comunque formate</w:t>
      </w:r>
      <w:proofErr w:type="gramEnd"/>
      <w:r w:rsidR="00057403">
        <w:rPr>
          <w:rFonts w:ascii="Cambria" w:hAnsi="Cambria" w:cs="Minion Pro"/>
          <w:color w:val="000000"/>
          <w:sz w:val="24"/>
          <w:szCs w:val="24"/>
        </w:rPr>
        <w:t xml:space="preserve"> in merito alle modalità comportamentali da seguire da parte dell’O.S.A. responsabile dell’Autocontrollo aziendale.</w:t>
      </w:r>
    </w:p>
    <w:p w14:paraId="529D86BA" w14:textId="00467BA5" w:rsidR="006B569F" w:rsidRDefault="006B569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2B0215E6" w14:textId="2F3D69E1" w:rsidR="00162B28" w:rsidRDefault="00162B28" w:rsidP="006B569F">
      <w:pPr>
        <w:rPr>
          <w:rFonts w:ascii="Cambria" w:hAnsi="Cambria" w:cs="Minion Pro"/>
          <w:b/>
          <w:color w:val="000000"/>
          <w:sz w:val="24"/>
          <w:szCs w:val="24"/>
        </w:rPr>
      </w:pPr>
      <w:r w:rsidRPr="00162B28">
        <w:rPr>
          <w:rFonts w:ascii="Cambria" w:hAnsi="Cambria" w:cs="Minion Pro"/>
          <w:b/>
          <w:color w:val="000000"/>
          <w:sz w:val="24"/>
          <w:szCs w:val="24"/>
        </w:rPr>
        <w:lastRenderedPageBreak/>
        <w:t>Scheda di registrazione delle non conformità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3260"/>
        <w:gridCol w:w="3254"/>
      </w:tblGrid>
      <w:tr w:rsidR="00162B28" w:rsidRPr="006B569F" w14:paraId="206F7E4B" w14:textId="77777777" w:rsidTr="007D771C">
        <w:tc>
          <w:tcPr>
            <w:tcW w:w="988" w:type="dxa"/>
          </w:tcPr>
          <w:p w14:paraId="262B41A7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Data</w:t>
            </w:r>
          </w:p>
        </w:tc>
        <w:tc>
          <w:tcPr>
            <w:tcW w:w="2126" w:type="dxa"/>
          </w:tcPr>
          <w:p w14:paraId="648259B0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Operatore (firma)</w:t>
            </w:r>
          </w:p>
        </w:tc>
        <w:tc>
          <w:tcPr>
            <w:tcW w:w="3260" w:type="dxa"/>
          </w:tcPr>
          <w:p w14:paraId="77B7B3B7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Motivo non conformità contenitore</w:t>
            </w:r>
          </w:p>
        </w:tc>
        <w:tc>
          <w:tcPr>
            <w:tcW w:w="3254" w:type="dxa"/>
          </w:tcPr>
          <w:p w14:paraId="5D765A35" w14:textId="77777777" w:rsidR="00162B28" w:rsidRPr="00162B28" w:rsidRDefault="00162B28" w:rsidP="007D771C">
            <w:pPr>
              <w:jc w:val="center"/>
              <w:rPr>
                <w:rFonts w:ascii="Cambria" w:hAnsi="Cambria" w:cstheme="majorHAnsi"/>
                <w:b/>
                <w:i/>
                <w:sz w:val="18"/>
                <w:szCs w:val="18"/>
              </w:rPr>
            </w:pPr>
            <w:r w:rsidRPr="00162B28">
              <w:rPr>
                <w:rFonts w:ascii="Cambria" w:hAnsi="Cambria" w:cstheme="majorHAnsi"/>
                <w:b/>
                <w:i/>
                <w:sz w:val="18"/>
                <w:szCs w:val="18"/>
              </w:rPr>
              <w:t>Azione correttiva adottata</w:t>
            </w:r>
          </w:p>
        </w:tc>
      </w:tr>
      <w:tr w:rsidR="00162B28" w:rsidRPr="006B569F" w14:paraId="20C15629" w14:textId="77777777" w:rsidTr="007D771C">
        <w:tc>
          <w:tcPr>
            <w:tcW w:w="988" w:type="dxa"/>
          </w:tcPr>
          <w:p w14:paraId="704CD152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071AF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01A27064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FBE6D11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576AFC9E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E6A1DBA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08034AB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156997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24A202D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454F30B6" w14:textId="77777777" w:rsidTr="007D771C">
        <w:tc>
          <w:tcPr>
            <w:tcW w:w="988" w:type="dxa"/>
          </w:tcPr>
          <w:p w14:paraId="341332F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F981AC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694842B2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43390EA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94B2A3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39F4536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402F228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4C5CE6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94C4CF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145E12D9" w14:textId="77777777" w:rsidTr="007D771C">
        <w:tc>
          <w:tcPr>
            <w:tcW w:w="988" w:type="dxa"/>
          </w:tcPr>
          <w:p w14:paraId="0A0C852C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5D8E4D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2928E4FC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0E55630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9284396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8B5844B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26A110EE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C135295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5C53C29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45B9684D" w14:textId="77777777" w:rsidTr="007D771C">
        <w:tc>
          <w:tcPr>
            <w:tcW w:w="988" w:type="dxa"/>
          </w:tcPr>
          <w:p w14:paraId="7805D47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2B3C314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154F8972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758903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BA1517F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6C01B8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52EBD75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CB0F64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BE4DB2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71B369B4" w14:textId="77777777" w:rsidTr="007D771C">
        <w:tc>
          <w:tcPr>
            <w:tcW w:w="988" w:type="dxa"/>
          </w:tcPr>
          <w:p w14:paraId="74E31DB9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7F8348C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1804BFE5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942704A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54DA6DE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5AB7C28F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56AFE142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617DBD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B21908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607CDE04" w14:textId="77777777" w:rsidTr="007D771C">
        <w:tc>
          <w:tcPr>
            <w:tcW w:w="988" w:type="dxa"/>
          </w:tcPr>
          <w:p w14:paraId="0AEB219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97479CA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047135B8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62686B9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F0B2780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9F70722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54D96E94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740BB1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2F15CAA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20646731" w14:textId="77777777" w:rsidTr="007D771C">
        <w:tc>
          <w:tcPr>
            <w:tcW w:w="988" w:type="dxa"/>
          </w:tcPr>
          <w:p w14:paraId="315E2DC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50DE09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006EB3EA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1F8D96C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2B9CDA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D13D867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1D6196E3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3E64BC8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4F61A85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703F11EE" w14:textId="77777777" w:rsidTr="007D771C">
        <w:tc>
          <w:tcPr>
            <w:tcW w:w="988" w:type="dxa"/>
          </w:tcPr>
          <w:p w14:paraId="46D7747A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9C5691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52B1E83E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E277E20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C1E3ECF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F5C52FB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23E84179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0249414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65183EE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02720474" w14:textId="77777777" w:rsidTr="007D771C">
        <w:tc>
          <w:tcPr>
            <w:tcW w:w="988" w:type="dxa"/>
          </w:tcPr>
          <w:p w14:paraId="3E9FDAD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9A2113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54F3A2A1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1B2D454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4886C30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0AB46D3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25C9013E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B41734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8F036C6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4269C09E" w14:textId="77777777" w:rsidTr="007D771C">
        <w:tc>
          <w:tcPr>
            <w:tcW w:w="988" w:type="dxa"/>
          </w:tcPr>
          <w:p w14:paraId="6B21844B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DD2D4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631DF8B1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FDA95AA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FAC5BCC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24A6E10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1C6D2432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212577A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4B29779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6933440F" w14:textId="77777777" w:rsidTr="007D771C">
        <w:tc>
          <w:tcPr>
            <w:tcW w:w="988" w:type="dxa"/>
          </w:tcPr>
          <w:p w14:paraId="6E0F480F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4C5F6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1BF511A5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23B299E5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15C6AD73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1F8E4A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4468A645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DBF8978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809C0B9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:rsidRPr="006B569F" w14:paraId="4896E287" w14:textId="77777777" w:rsidTr="007D771C">
        <w:tc>
          <w:tcPr>
            <w:tcW w:w="988" w:type="dxa"/>
          </w:tcPr>
          <w:p w14:paraId="6EC6DEE5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61E329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6C54925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37F8D92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4F66CBB7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35A215BB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26287024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862DA4F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35E029D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  <w:tr w:rsidR="00162B28" w14:paraId="0ED7685B" w14:textId="77777777" w:rsidTr="007D771C">
        <w:tc>
          <w:tcPr>
            <w:tcW w:w="988" w:type="dxa"/>
          </w:tcPr>
          <w:p w14:paraId="5F7D364C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198F8F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14:paraId="4494297F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308BA18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00D7CCBE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1D633F8" w14:textId="77777777" w:rsidR="00162B28" w:rsidRPr="006B569F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  <w:tc>
          <w:tcPr>
            <w:tcW w:w="3254" w:type="dxa"/>
          </w:tcPr>
          <w:p w14:paraId="4194A29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7E2EE228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  <w:p w14:paraId="67A70E2B" w14:textId="77777777" w:rsidR="00162B28" w:rsidRDefault="00162B28" w:rsidP="007D771C">
            <w:pPr>
              <w:rPr>
                <w:rFonts w:ascii="Cambria" w:hAnsi="Cambria" w:cstheme="majorHAnsi"/>
                <w:b/>
                <w:sz w:val="18"/>
                <w:szCs w:val="18"/>
              </w:rPr>
            </w:pPr>
          </w:p>
        </w:tc>
      </w:tr>
    </w:tbl>
    <w:p w14:paraId="6213A198" w14:textId="77777777" w:rsidR="00ED04E9" w:rsidRDefault="00ED04E9" w:rsidP="00162B28">
      <w:pPr>
        <w:rPr>
          <w:rFonts w:ascii="Cambria" w:hAnsi="Cambria" w:cs="Minion Pro"/>
          <w:sz w:val="24"/>
          <w:szCs w:val="24"/>
        </w:rPr>
      </w:pPr>
    </w:p>
    <w:p w14:paraId="6E08A298" w14:textId="33BCAE95" w:rsidR="001C7852" w:rsidRPr="00162B28" w:rsidRDefault="001C7852" w:rsidP="00162B28">
      <w:pPr>
        <w:rPr>
          <w:rFonts w:ascii="Cambria" w:hAnsi="Cambria" w:cs="Minion Pro"/>
          <w:sz w:val="24"/>
          <w:szCs w:val="24"/>
        </w:rPr>
      </w:pPr>
    </w:p>
    <w:sectPr w:rsidR="001C7852" w:rsidRPr="00162B28" w:rsidSect="0011089C">
      <w:headerReference w:type="default" r:id="rId12"/>
      <w:footerReference w:type="default" r:id="rId13"/>
      <w:pgSz w:w="11906" w:h="16838"/>
      <w:pgMar w:top="1134" w:right="1134" w:bottom="1134" w:left="1134" w:header="680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9216C" w14:textId="77777777" w:rsidR="00785E19" w:rsidRDefault="00785E19" w:rsidP="00550C33">
      <w:pPr>
        <w:spacing w:after="0" w:line="240" w:lineRule="auto"/>
      </w:pPr>
      <w:r>
        <w:separator/>
      </w:r>
    </w:p>
  </w:endnote>
  <w:endnote w:type="continuationSeparator" w:id="0">
    <w:p w14:paraId="4E08AE3B" w14:textId="77777777" w:rsidR="00785E19" w:rsidRDefault="00785E19" w:rsidP="0055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FA7C0" w14:textId="77777777" w:rsidR="001F1ACA" w:rsidRPr="00057403" w:rsidRDefault="001F1ACA" w:rsidP="001F1ACA">
    <w:pPr>
      <w:pStyle w:val="Testonotaapidipagina"/>
      <w:jc w:val="both"/>
      <w:rPr>
        <w:rFonts w:ascii="Calibri Light" w:hAnsi="Calibri Light" w:cs="Calibri Light"/>
        <w:sz w:val="16"/>
        <w:szCs w:val="16"/>
      </w:rPr>
    </w:pPr>
    <w:r>
      <w:rPr>
        <w:rFonts w:ascii="Calibri Light" w:hAnsi="Calibri Light" w:cs="Calibri Light"/>
        <w:sz w:val="16"/>
        <w:szCs w:val="16"/>
      </w:rPr>
      <w:t>________________________________________________________________________________________________________________________</w:t>
    </w:r>
  </w:p>
  <w:p w14:paraId="421815B0" w14:textId="162EA3A3" w:rsidR="00550C33" w:rsidRDefault="001F1ACA" w:rsidP="0011089C">
    <w:pPr>
      <w:pStyle w:val="Pidipagina"/>
      <w:jc w:val="both"/>
      <w:rPr>
        <w:i/>
        <w:sz w:val="16"/>
        <w:szCs w:val="16"/>
      </w:rPr>
    </w:pPr>
    <w:r>
      <w:rPr>
        <w:noProof/>
        <w:lang w:eastAsia="zh-CN"/>
      </w:rPr>
      <w:drawing>
        <wp:anchor distT="0" distB="0" distL="114300" distR="114300" simplePos="0" relativeHeight="251666432" behindDoc="0" locked="0" layoutInCell="1" allowOverlap="1" wp14:anchorId="3F48FB62" wp14:editId="6DE0AC3A">
          <wp:simplePos x="0" y="0"/>
          <wp:positionH relativeFrom="column">
            <wp:posOffset>998</wp:posOffset>
          </wp:positionH>
          <wp:positionV relativeFrom="paragraph">
            <wp:posOffset>37828</wp:posOffset>
          </wp:positionV>
          <wp:extent cx="754380" cy="484505"/>
          <wp:effectExtent l="0" t="0" r="7620" b="0"/>
          <wp:wrapSquare wrapText="bothSides"/>
          <wp:docPr id="760818875" name="Immagine 760818875" descr="Immagine che contiene Carattere, Elementi grafici, grafic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181885" name="Immagine 201181885" descr="Immagine che contiene Carattere, Elementi grafici, grafic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SPESA SBALLATA 3 è un progetto di prevenzione dei rifiuti promosso nel 2023 da Totem</w:t>
    </w:r>
    <w:r w:rsidRPr="00D534DE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Coop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.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Soc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.,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Scuola Agraria del Parco di Monza, Provincia di Varese – Osservatorio Provinciale Rifiuti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e</w:t>
    </w:r>
    <w:r w:rsidRPr="001A2212">
      <w:t xml:space="preserve"> </w:t>
    </w:r>
    <w:r w:rsidRPr="001A2212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Ufficio Sviluppo Sostenibile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-Green Schools ed il partner tecnico ARS ambiente srl,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con la collaborazione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di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ATS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provinciale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Insubria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Confcommercio </w:t>
    </w:r>
    <w:r w:rsidR="009D722E"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UNIASCOM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Varese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, del partner operativo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AroundRS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e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di Convenzione Intercomunale di Sesto Calende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,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Faita Lombardia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</w:t>
    </w:r>
    <w:proofErr w:type="spellStart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FederCampeggi</w:t>
    </w:r>
    <w:proofErr w:type="spellEnd"/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Legambiente Lombardia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e dei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 Comuni di Sesto Calende, Angera,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Ispra, 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 xml:space="preserve">Laveno Mombello, </w:t>
    </w:r>
    <w:r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Luino, Varese, Lavena Ponte Tresa, Valganna, Malnate, Vedano Olona, con il finanziamento di Fondazione Cariplo – Bando Effetto Eco 2022</w:t>
    </w:r>
    <w:r w:rsidRPr="0011089C">
      <w:rPr>
        <w:rFonts w:ascii="Segoe UI" w:eastAsiaTheme="minorHAnsi" w:hAnsi="Segoe UI" w:cs="Segoe UI"/>
        <w:i/>
        <w:color w:val="000000"/>
        <w:sz w:val="16"/>
        <w:szCs w:val="16"/>
        <w:lang w:eastAsia="en-US"/>
      </w:rPr>
      <w:t>.</w:t>
    </w:r>
  </w:p>
  <w:p w14:paraId="619AB066" w14:textId="77777777" w:rsidR="001F1ACA" w:rsidRPr="0011089C" w:rsidRDefault="001F1ACA" w:rsidP="0011089C">
    <w:pPr>
      <w:pStyle w:val="Pidipagina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B143" w14:textId="77777777" w:rsidR="00785E19" w:rsidRDefault="00785E19" w:rsidP="00550C33">
      <w:pPr>
        <w:spacing w:after="0" w:line="240" w:lineRule="auto"/>
      </w:pPr>
      <w:r>
        <w:separator/>
      </w:r>
    </w:p>
  </w:footnote>
  <w:footnote w:type="continuationSeparator" w:id="0">
    <w:p w14:paraId="66B72C3F" w14:textId="77777777" w:rsidR="00785E19" w:rsidRDefault="00785E19" w:rsidP="00550C33">
      <w:pPr>
        <w:spacing w:after="0" w:line="240" w:lineRule="auto"/>
      </w:pPr>
      <w:r>
        <w:continuationSeparator/>
      </w:r>
    </w:p>
  </w:footnote>
  <w:footnote w:id="1">
    <w:p w14:paraId="6A816EB3" w14:textId="77777777" w:rsidR="00057403" w:rsidRPr="00057403" w:rsidRDefault="00057403" w:rsidP="00057403">
      <w:pPr>
        <w:pStyle w:val="Testonotaapidipagina"/>
        <w:jc w:val="both"/>
        <w:rPr>
          <w:rFonts w:ascii="Calibri Light" w:hAnsi="Calibri Light" w:cs="Calibri Light"/>
          <w:sz w:val="16"/>
          <w:szCs w:val="16"/>
        </w:rPr>
      </w:pPr>
      <w:r>
        <w:rPr>
          <w:rStyle w:val="FootnoteCharacters"/>
        </w:rPr>
        <w:footnoteRef/>
      </w:r>
      <w:r>
        <w:t xml:space="preserve"> </w:t>
      </w:r>
      <w:r w:rsidRPr="00057403">
        <w:rPr>
          <w:rFonts w:ascii="Calibri Light" w:hAnsi="Calibri Light" w:cs="Calibri Light"/>
          <w:sz w:val="16"/>
          <w:szCs w:val="16"/>
        </w:rPr>
        <w:t>Conversione in legge, con modificazioni, del decreto-legge 14 ottobre 2019, n. 111, recante misure urgenti per il rispetto degli obblighi previsti dalla direttiva 2008/50/CE sulla qualità dell’aria e proroga del termine di cui all’articolo 48, commi 11 e 13, del decreto-legge 17 ottobre 2016, n. 189, convertito, con modificazioni, dalla legge 15 dicembre 2016, n. 229.</w:t>
      </w:r>
    </w:p>
  </w:footnote>
  <w:footnote w:id="2">
    <w:p w14:paraId="744A766C" w14:textId="753942E4" w:rsidR="008D0AC9" w:rsidRDefault="008D0AC9" w:rsidP="008D0AC9">
      <w:pPr>
        <w:pStyle w:val="Testonotaapidipagina"/>
        <w:rPr>
          <w:rFonts w:ascii="Calibri Light" w:hAnsi="Calibri Light" w:cs="Calibri Light"/>
          <w:sz w:val="16"/>
          <w:szCs w:val="16"/>
        </w:rPr>
      </w:pPr>
      <w:r>
        <w:rPr>
          <w:rStyle w:val="FootnoteCharacters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Regolamento CE 852/2004 del Parlamento europeo e del Consiglio del 29 aprile 2004, sull’igiene dei prodotti alimentari.</w:t>
      </w:r>
      <w:r w:rsidR="00057403"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D.M. 21 marzo 1973 (suppl. G.U.n.104 del 20 aprile 1973), disciplina igienica degli imballaggi, recipienti, utensili destinati a venire in contatto con le sostanze alimentari, e relativi aggiornamenti. Regolamento (CE) N. 1935/2004 del Parlamento europeo e del Consiglio del 27 ottobre 2004 riguardante i materiali e gli oggetti destinati a venire a contatto con i prodotti alimentari</w:t>
      </w:r>
    </w:p>
    <w:p w14:paraId="67AE014C" w14:textId="77777777" w:rsidR="008D0AC9" w:rsidRDefault="008D0AC9" w:rsidP="008D0AC9">
      <w:pPr>
        <w:pStyle w:val="Testonotaapidipagina"/>
        <w:rPr>
          <w:rFonts w:ascii="Calibri Light" w:hAnsi="Calibri Light" w:cs="Calibri Light"/>
          <w:sz w:val="16"/>
          <w:szCs w:val="16"/>
        </w:rPr>
      </w:pPr>
    </w:p>
    <w:p w14:paraId="1974A863" w14:textId="77777777" w:rsidR="008D0AC9" w:rsidRDefault="008D0AC9" w:rsidP="008D0AC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EDDC" w14:textId="13F0E1CE" w:rsidR="00550C33" w:rsidRDefault="00D441C6">
    <w:pPr>
      <w:pStyle w:val="Intestazione"/>
    </w:pPr>
    <w:r>
      <w:rPr>
        <w:noProof/>
      </w:rPr>
      <w:drawing>
        <wp:anchor distT="0" distB="0" distL="114300" distR="114300" simplePos="0" relativeHeight="251682816" behindDoc="0" locked="0" layoutInCell="1" allowOverlap="1" wp14:anchorId="5E96412D" wp14:editId="4D1EFB0A">
          <wp:simplePos x="0" y="0"/>
          <wp:positionH relativeFrom="column">
            <wp:posOffset>4375541</wp:posOffset>
          </wp:positionH>
          <wp:positionV relativeFrom="paragraph">
            <wp:posOffset>116205</wp:posOffset>
          </wp:positionV>
          <wp:extent cx="791210" cy="374650"/>
          <wp:effectExtent l="0" t="0" r="8890" b="6350"/>
          <wp:wrapSquare wrapText="bothSides"/>
          <wp:docPr id="130" name="Google Shape;130;p17" descr="Immagine che contiene testo, Carattere, log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" name="Google Shape;130;p17" descr="Immagine che contiene testo, Carattere, logo, Elementi grafici&#10;&#10;Descrizione generata automaticamente"/>
                  <pic:cNvPicPr preferRelativeResize="0"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21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1ACA" w:rsidRPr="0056389F">
      <w:rPr>
        <w:noProof/>
      </w:rPr>
      <w:drawing>
        <wp:anchor distT="0" distB="0" distL="114300" distR="114300" simplePos="0" relativeHeight="251678720" behindDoc="0" locked="0" layoutInCell="1" allowOverlap="1" wp14:anchorId="691BA726" wp14:editId="2AA0AED2">
          <wp:simplePos x="0" y="0"/>
          <wp:positionH relativeFrom="column">
            <wp:posOffset>5253990</wp:posOffset>
          </wp:positionH>
          <wp:positionV relativeFrom="paragraph">
            <wp:posOffset>50165</wp:posOffset>
          </wp:positionV>
          <wp:extent cx="1242060" cy="619760"/>
          <wp:effectExtent l="0" t="0" r="0" b="8890"/>
          <wp:wrapNone/>
          <wp:docPr id="208" name="Google Shape;107;p16" descr="Immagine che contiene Carattere, logo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" name="Google Shape;107;p16" descr="Immagine che contiene Carattere, logo, simbolo, Elementi grafici&#10;&#10;Descrizione generata automaticamente"/>
                  <pic:cNvPicPr preferRelativeResize="0"/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24206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1ACA">
      <w:rPr>
        <w:noProof/>
      </w:rPr>
      <mc:AlternateContent>
        <mc:Choice Requires="wps">
          <w:drawing>
            <wp:anchor distT="45720" distB="45720" distL="114300" distR="114300" simplePos="0" relativeHeight="251680768" behindDoc="0" locked="0" layoutInCell="1" allowOverlap="1" wp14:anchorId="46403610" wp14:editId="46BFB968">
              <wp:simplePos x="0" y="0"/>
              <wp:positionH relativeFrom="margin">
                <wp:posOffset>5253990</wp:posOffset>
              </wp:positionH>
              <wp:positionV relativeFrom="paragraph">
                <wp:posOffset>-27940</wp:posOffset>
              </wp:positionV>
              <wp:extent cx="1127760" cy="22098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7760" cy="2209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BB7C2" w14:textId="77777777" w:rsidR="001F1ACA" w:rsidRPr="0056389F" w:rsidRDefault="001F1ACA" w:rsidP="001F1AC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con il contributo</w:t>
                          </w:r>
                          <w:r w:rsidRPr="0056389F">
                            <w:rPr>
                              <w:sz w:val="18"/>
                              <w:szCs w:val="18"/>
                            </w:rPr>
                            <w:t xml:space="preserve"> d</w:t>
                          </w:r>
                          <w:r>
                            <w:rPr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0361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13.7pt;margin-top:-2.2pt;width:88.8pt;height:17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" filled="f" stroked="f">
              <v:textbox>
                <w:txbxContent>
                  <w:p w14:paraId="779BB7C2" w14:textId="77777777" w:rsidR="001F1ACA" w:rsidRPr="0056389F" w:rsidRDefault="001F1ACA" w:rsidP="001F1AC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con il contributo</w:t>
                    </w:r>
                    <w:r w:rsidRPr="0056389F">
                      <w:rPr>
                        <w:sz w:val="18"/>
                        <w:szCs w:val="18"/>
                      </w:rPr>
                      <w:t xml:space="preserve"> d</w:t>
                    </w:r>
                    <w:r>
                      <w:rPr>
                        <w:sz w:val="18"/>
                        <w:szCs w:val="18"/>
                      </w:rPr>
                      <w:t>i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F1ACA" w:rsidRPr="0056389F">
      <w:rPr>
        <w:noProof/>
      </w:rPr>
      <w:drawing>
        <wp:anchor distT="0" distB="0" distL="114300" distR="114300" simplePos="0" relativeHeight="251674624" behindDoc="0" locked="0" layoutInCell="1" allowOverlap="1" wp14:anchorId="5F0A16C9" wp14:editId="230C217A">
          <wp:simplePos x="0" y="0"/>
          <wp:positionH relativeFrom="column">
            <wp:posOffset>2796540</wp:posOffset>
          </wp:positionH>
          <wp:positionV relativeFrom="paragraph">
            <wp:posOffset>31115</wp:posOffset>
          </wp:positionV>
          <wp:extent cx="866775" cy="638741"/>
          <wp:effectExtent l="0" t="0" r="0" b="9525"/>
          <wp:wrapNone/>
          <wp:docPr id="205" name="Google Shape;115;p17" descr="Immagine che contiene testo, Carattere, logo, Elementi grafici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92FE7B56-A303-4B6D-9985-1495B060C4B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Google Shape;115;p17" descr="Immagine che contiene testo, Carattere, logo, Elementi grafici&#10;&#10;Descrizione generata automaticamente">
                    <a:extLst>
                      <a:ext uri="{FF2B5EF4-FFF2-40B4-BE49-F238E27FC236}">
                        <a16:creationId xmlns:a16="http://schemas.microsoft.com/office/drawing/2014/main" id="{92FE7B56-A303-4B6D-9985-1495B060C4B1}"/>
                      </a:ext>
                    </a:extLst>
                  </pic:cNvPr>
                  <pic:cNvPicPr preferRelativeResize="0"/>
                </pic:nvPicPr>
                <pic:blipFill rotWithShape="1"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866775" cy="638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1ACA" w:rsidRPr="0056389F">
      <w:rPr>
        <w:noProof/>
      </w:rPr>
      <w:drawing>
        <wp:anchor distT="0" distB="0" distL="114300" distR="114300" simplePos="0" relativeHeight="251672576" behindDoc="0" locked="0" layoutInCell="1" allowOverlap="1" wp14:anchorId="0CCF123E" wp14:editId="20DD669E">
          <wp:simplePos x="0" y="0"/>
          <wp:positionH relativeFrom="column">
            <wp:posOffset>1935480</wp:posOffset>
          </wp:positionH>
          <wp:positionV relativeFrom="paragraph">
            <wp:posOffset>146685</wp:posOffset>
          </wp:positionV>
          <wp:extent cx="809625" cy="381000"/>
          <wp:effectExtent l="0" t="0" r="9525" b="0"/>
          <wp:wrapNone/>
          <wp:docPr id="203" name="Google Shape;113;p17" descr="Immagine che contiene testo, Carattere, Elementi grafici, design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C479313-301E-410F-ABF5-82F3BBA4DFD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" name="Google Shape;113;p17" descr="Immagine che contiene testo, Carattere, Elementi grafici, design&#10;&#10;Descrizione generata automaticamente">
                    <a:extLst>
                      <a:ext uri="{FF2B5EF4-FFF2-40B4-BE49-F238E27FC236}">
                        <a16:creationId xmlns:a16="http://schemas.microsoft.com/office/drawing/2014/main" id="{CC479313-301E-410F-ABF5-82F3BBA4DFDB}"/>
                      </a:ext>
                    </a:extLst>
                  </pic:cNvPr>
                  <pic:cNvPicPr preferRelativeResize="0"/>
                </pic:nvPicPr>
                <pic:blipFill rotWithShape="1">
                  <a:blip r:embed="rId4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809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1ACA">
      <w:rPr>
        <w:noProof/>
      </w:rPr>
      <w:drawing>
        <wp:anchor distT="0" distB="0" distL="114300" distR="114300" simplePos="0" relativeHeight="251668480" behindDoc="0" locked="0" layoutInCell="1" allowOverlap="1" wp14:anchorId="5DB8373F" wp14:editId="42B9BF82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762000" cy="420370"/>
          <wp:effectExtent l="0" t="0" r="0" b="0"/>
          <wp:wrapSquare wrapText="bothSides"/>
          <wp:docPr id="209" name="Immagine 209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Immagine 209" descr="Immagine che contiene testo, Carattere, simbol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5043B" w14:textId="30523590" w:rsidR="00550C33" w:rsidRDefault="001F1ACA">
    <w:pPr>
      <w:pStyle w:val="Intestazione"/>
    </w:pPr>
    <w:r w:rsidRPr="0056389F">
      <w:rPr>
        <w:noProof/>
      </w:rPr>
      <w:drawing>
        <wp:anchor distT="0" distB="0" distL="114300" distR="114300" simplePos="0" relativeHeight="251676672" behindDoc="0" locked="0" layoutInCell="1" allowOverlap="1" wp14:anchorId="133C2CB1" wp14:editId="321FE984">
          <wp:simplePos x="0" y="0"/>
          <wp:positionH relativeFrom="column">
            <wp:posOffset>3707130</wp:posOffset>
          </wp:positionH>
          <wp:positionV relativeFrom="paragraph">
            <wp:posOffset>17145</wp:posOffset>
          </wp:positionV>
          <wp:extent cx="609600" cy="300718"/>
          <wp:effectExtent l="0" t="0" r="0" b="4445"/>
          <wp:wrapNone/>
          <wp:docPr id="206" name="Google Shape;116;p17" descr="Immagine che contiene testo, Carattere, logo, Elementi grafici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B3C7B0E-B195-4128-9D77-A8F5E33A6B4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" name="Google Shape;116;p17" descr="Immagine che contiene testo, Carattere, logo, Elementi grafici&#10;&#10;Descrizione generata automaticamente">
                    <a:extLst>
                      <a:ext uri="{FF2B5EF4-FFF2-40B4-BE49-F238E27FC236}">
                        <a16:creationId xmlns:a16="http://schemas.microsoft.com/office/drawing/2014/main" id="{CB3C7B0E-B195-4128-9D77-A8F5E33A6B44}"/>
                      </a:ext>
                    </a:extLst>
                  </pic:cNvPr>
                  <pic:cNvPicPr preferRelativeResize="0"/>
                </pic:nvPicPr>
                <pic:blipFill rotWithShape="1">
                  <a:blip r:embed="rId6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609600" cy="300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389F">
      <w:rPr>
        <w:noProof/>
      </w:rPr>
      <w:drawing>
        <wp:anchor distT="0" distB="0" distL="114300" distR="114300" simplePos="0" relativeHeight="251670528" behindDoc="0" locked="0" layoutInCell="1" allowOverlap="1" wp14:anchorId="4F6EE6E0" wp14:editId="2819C97D">
          <wp:simplePos x="0" y="0"/>
          <wp:positionH relativeFrom="column">
            <wp:posOffset>979170</wp:posOffset>
          </wp:positionH>
          <wp:positionV relativeFrom="paragraph">
            <wp:posOffset>98425</wp:posOffset>
          </wp:positionV>
          <wp:extent cx="895350" cy="219075"/>
          <wp:effectExtent l="0" t="0" r="0" b="9525"/>
          <wp:wrapNone/>
          <wp:docPr id="204" name="Google Shape;129;p17" descr="Immagine che contiene Carattere, schermata, Elementi grafici, log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C065CFE-0E83-4037-B17E-8609BD5914F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Google Shape;129;p17" descr="Immagine che contiene Carattere, schermata, Elementi grafici, logo&#10;&#10;Descrizione generata automaticamente">
                    <a:extLst>
                      <a:ext uri="{FF2B5EF4-FFF2-40B4-BE49-F238E27FC236}">
                        <a16:creationId xmlns:a16="http://schemas.microsoft.com/office/drawing/2014/main" id="{6C065CFE-0E83-4037-B17E-8609BD5914FF}"/>
                      </a:ext>
                    </a:extLst>
                  </pic:cNvPr>
                  <pic:cNvPicPr preferRelativeResize="0"/>
                </pic:nvPicPr>
                <pic:blipFill>
                  <a:blip r:embed="rId7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5B4310" w14:textId="08BE8E9E" w:rsidR="00550C33" w:rsidRDefault="00550C33">
    <w:pPr>
      <w:pStyle w:val="Intestazione"/>
    </w:pPr>
  </w:p>
  <w:p w14:paraId="19393CC1" w14:textId="628C2A1E" w:rsidR="008D0AC9" w:rsidRDefault="008D0AC9">
    <w:pPr>
      <w:pStyle w:val="Intestazione"/>
    </w:pPr>
  </w:p>
  <w:p w14:paraId="1156C8A5" w14:textId="77777777" w:rsidR="004970EC" w:rsidRDefault="004970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13834"/>
    <w:multiLevelType w:val="multilevel"/>
    <w:tmpl w:val="FBB04DA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6720071"/>
    <w:multiLevelType w:val="multilevel"/>
    <w:tmpl w:val="EC8E8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02A8C"/>
    <w:multiLevelType w:val="multilevel"/>
    <w:tmpl w:val="EC8E8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3076">
    <w:abstractNumId w:val="2"/>
  </w:num>
  <w:num w:numId="2" w16cid:durableId="510071331">
    <w:abstractNumId w:val="0"/>
  </w:num>
  <w:num w:numId="3" w16cid:durableId="880047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C33"/>
    <w:rsid w:val="000235A7"/>
    <w:rsid w:val="00036135"/>
    <w:rsid w:val="00057403"/>
    <w:rsid w:val="000843E7"/>
    <w:rsid w:val="00087F97"/>
    <w:rsid w:val="000B31C5"/>
    <w:rsid w:val="000F7CF8"/>
    <w:rsid w:val="0011089C"/>
    <w:rsid w:val="00162B28"/>
    <w:rsid w:val="00162ED0"/>
    <w:rsid w:val="001B6EBC"/>
    <w:rsid w:val="001B71C3"/>
    <w:rsid w:val="001C4D5D"/>
    <w:rsid w:val="001C7852"/>
    <w:rsid w:val="001F1ACA"/>
    <w:rsid w:val="0020381E"/>
    <w:rsid w:val="002971B9"/>
    <w:rsid w:val="002C2E3F"/>
    <w:rsid w:val="002F237F"/>
    <w:rsid w:val="00324A4D"/>
    <w:rsid w:val="003308CB"/>
    <w:rsid w:val="0033376D"/>
    <w:rsid w:val="00360DAC"/>
    <w:rsid w:val="00364D46"/>
    <w:rsid w:val="003E5FB3"/>
    <w:rsid w:val="00416AEE"/>
    <w:rsid w:val="004554A0"/>
    <w:rsid w:val="00471854"/>
    <w:rsid w:val="004738DA"/>
    <w:rsid w:val="0049584C"/>
    <w:rsid w:val="004970EC"/>
    <w:rsid w:val="004F0F9E"/>
    <w:rsid w:val="004F4230"/>
    <w:rsid w:val="00544E70"/>
    <w:rsid w:val="00550C33"/>
    <w:rsid w:val="005601B3"/>
    <w:rsid w:val="00575B67"/>
    <w:rsid w:val="005847A2"/>
    <w:rsid w:val="00597E60"/>
    <w:rsid w:val="005C2102"/>
    <w:rsid w:val="005C758C"/>
    <w:rsid w:val="005D32AA"/>
    <w:rsid w:val="005D3AB5"/>
    <w:rsid w:val="005E789D"/>
    <w:rsid w:val="00607EEF"/>
    <w:rsid w:val="00632A0C"/>
    <w:rsid w:val="00647569"/>
    <w:rsid w:val="006A299D"/>
    <w:rsid w:val="006B569F"/>
    <w:rsid w:val="006C0BBF"/>
    <w:rsid w:val="006C535B"/>
    <w:rsid w:val="006E00A2"/>
    <w:rsid w:val="006F144E"/>
    <w:rsid w:val="0073669D"/>
    <w:rsid w:val="00782367"/>
    <w:rsid w:val="00785E19"/>
    <w:rsid w:val="0085065A"/>
    <w:rsid w:val="00861F64"/>
    <w:rsid w:val="00864221"/>
    <w:rsid w:val="0086511E"/>
    <w:rsid w:val="00885975"/>
    <w:rsid w:val="008A3F24"/>
    <w:rsid w:val="008D0AC9"/>
    <w:rsid w:val="00903A46"/>
    <w:rsid w:val="009164E9"/>
    <w:rsid w:val="0092056E"/>
    <w:rsid w:val="009414C6"/>
    <w:rsid w:val="00955638"/>
    <w:rsid w:val="009D5013"/>
    <w:rsid w:val="009D722E"/>
    <w:rsid w:val="00A81861"/>
    <w:rsid w:val="00AA005E"/>
    <w:rsid w:val="00AB1EAE"/>
    <w:rsid w:val="00B17169"/>
    <w:rsid w:val="00B42D05"/>
    <w:rsid w:val="00C40752"/>
    <w:rsid w:val="00C4189F"/>
    <w:rsid w:val="00C8037F"/>
    <w:rsid w:val="00C83EA9"/>
    <w:rsid w:val="00D441C6"/>
    <w:rsid w:val="00D534DE"/>
    <w:rsid w:val="00D71A52"/>
    <w:rsid w:val="00D81A86"/>
    <w:rsid w:val="00D86567"/>
    <w:rsid w:val="00D90A7C"/>
    <w:rsid w:val="00DA1540"/>
    <w:rsid w:val="00DE2765"/>
    <w:rsid w:val="00E3770A"/>
    <w:rsid w:val="00E54A9A"/>
    <w:rsid w:val="00E85375"/>
    <w:rsid w:val="00ED04E9"/>
    <w:rsid w:val="00ED08FB"/>
    <w:rsid w:val="00F2751B"/>
    <w:rsid w:val="00F55F93"/>
    <w:rsid w:val="00F9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9C5DA"/>
  <w15:chartTrackingRefBased/>
  <w15:docId w15:val="{ADCF9B84-A15A-44C4-BCE7-C5273C2F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569F"/>
    <w:rPr>
      <w:rFonts w:eastAsiaTheme="minorEastAsia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50C33"/>
    <w:rPr>
      <w:rFonts w:ascii="Calibri" w:hAnsi="Calibri" w:cs="Times New Roman"/>
      <w:sz w:val="20"/>
      <w:szCs w:val="20"/>
      <w:lang w:eastAsia="it-I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50C33"/>
    <w:rPr>
      <w:vertAlign w:val="superscript"/>
    </w:rPr>
  </w:style>
  <w:style w:type="character" w:customStyle="1" w:styleId="FootnoteAnchor">
    <w:name w:val="Footnote Anchor"/>
    <w:rsid w:val="00550C3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50C33"/>
    <w:pPr>
      <w:spacing w:after="0" w:line="240" w:lineRule="auto"/>
      <w:ind w:left="720"/>
      <w:contextualSpacing/>
    </w:pPr>
    <w:rPr>
      <w:rFonts w:eastAsiaTheme="minorHAns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50C33"/>
    <w:pPr>
      <w:spacing w:after="0" w:line="240" w:lineRule="auto"/>
    </w:pPr>
    <w:rPr>
      <w:rFonts w:ascii="Calibri" w:eastAsiaTheme="minorHAnsi" w:hAnsi="Calibri" w:cs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550C33"/>
    <w:rPr>
      <w:rFonts w:eastAsiaTheme="minorEastAsia"/>
      <w:sz w:val="20"/>
      <w:szCs w:val="20"/>
      <w:lang w:eastAsia="ja-JP"/>
    </w:rPr>
  </w:style>
  <w:style w:type="paragraph" w:styleId="Intestazione">
    <w:name w:val="header"/>
    <w:basedOn w:val="Normale"/>
    <w:link w:val="IntestazioneCarattere"/>
    <w:uiPriority w:val="99"/>
    <w:unhideWhenUsed/>
    <w:rsid w:val="00550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C33"/>
    <w:rPr>
      <w:rFonts w:eastAsiaTheme="minorEastAsia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550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C33"/>
    <w:rPr>
      <w:rFonts w:eastAsiaTheme="minorEastAsia"/>
      <w:lang w:eastAsia="ja-JP"/>
    </w:rPr>
  </w:style>
  <w:style w:type="paragraph" w:styleId="Revisione">
    <w:name w:val="Revision"/>
    <w:hidden/>
    <w:uiPriority w:val="99"/>
    <w:semiHidden/>
    <w:rsid w:val="004F4230"/>
    <w:pPr>
      <w:spacing w:after="0" w:line="240" w:lineRule="auto"/>
    </w:pPr>
    <w:rPr>
      <w:rFonts w:eastAsiaTheme="minorEastAsia"/>
      <w:lang w:eastAsia="ja-JP"/>
    </w:rPr>
  </w:style>
  <w:style w:type="table" w:styleId="Grigliatabella">
    <w:name w:val="Table Grid"/>
    <w:basedOn w:val="Tabellanormale"/>
    <w:uiPriority w:val="39"/>
    <w:rsid w:val="006B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B57671E69060D459F24271147BD488C" ma:contentTypeVersion="2" ma:contentTypeDescription="Creare un nuovo documento." ma:contentTypeScope="" ma:versionID="295992bb805cc0a3616f6d9b5fe25a6e">
  <xsd:schema xmlns:xsd="http://www.w3.org/2001/XMLSchema" xmlns:xs="http://www.w3.org/2001/XMLSchema" xmlns:p="http://schemas.microsoft.com/office/2006/metadata/properties" xmlns:ns3="8dc09d8a-e4ab-42fa-afa2-1aa321a495a3" targetNamespace="http://schemas.microsoft.com/office/2006/metadata/properties" ma:root="true" ma:fieldsID="439c987c97964c8c36e119cd0c5b3bb2" ns3:_="">
    <xsd:import namespace="8dc09d8a-e4ab-42fa-afa2-1aa321a49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09d8a-e4ab-42fa-afa2-1aa321a49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F418E-2392-40D8-B338-E09A7191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09d8a-e4ab-42fa-afa2-1aa321a49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76B148-C579-4B2C-BE64-715BDEDB4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F121-1BF6-4C97-A941-1A089C900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F1C8AC-1979-4E5C-B782-82A8CB19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Monticelli</dc:creator>
  <cp:keywords/>
  <dc:description/>
  <cp:lastModifiedBy>Silvia Colombo</cp:lastModifiedBy>
  <cp:revision>9</cp:revision>
  <dcterms:created xsi:type="dcterms:W3CDTF">2023-05-05T11:49:00Z</dcterms:created>
  <dcterms:modified xsi:type="dcterms:W3CDTF">2023-05-12T13:12:00Z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0x0101001B57671E69060D459F24271147BD488C</vt:lpwstr>
  </property>
</Properties>
</file>